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27" w:rsidRDefault="00256327" w:rsidP="00256327">
      <w:pPr>
        <w:spacing w:after="200" w:line="276" w:lineRule="auto"/>
        <w:jc w:val="center"/>
        <w:rPr>
          <w:rFonts w:ascii="Calibri" w:eastAsia="Calibri" w:hAnsi="Calibri" w:cs="Calibri"/>
          <w:sz w:val="32"/>
          <w:szCs w:val="22"/>
          <w:lang w:eastAsia="en-US"/>
        </w:rPr>
      </w:pPr>
    </w:p>
    <w:p w:rsidR="00256327" w:rsidRPr="00256327" w:rsidRDefault="00256327" w:rsidP="00256327">
      <w:pPr>
        <w:spacing w:after="200" w:line="276" w:lineRule="auto"/>
        <w:jc w:val="center"/>
        <w:rPr>
          <w:rFonts w:ascii="Calibri" w:eastAsia="Calibri" w:hAnsi="Calibri" w:cs="Calibri"/>
          <w:sz w:val="32"/>
          <w:szCs w:val="22"/>
          <w:lang w:eastAsia="en-US"/>
        </w:rPr>
      </w:pPr>
      <w:bookmarkStart w:id="0" w:name="_GoBack"/>
      <w:bookmarkEnd w:id="0"/>
      <w:r w:rsidRPr="00256327">
        <w:rPr>
          <w:rFonts w:ascii="Calibri" w:eastAsia="Calibri" w:hAnsi="Calibri" w:cs="Calibri"/>
          <w:sz w:val="32"/>
          <w:szCs w:val="22"/>
          <w:lang w:eastAsia="en-US"/>
        </w:rPr>
        <w:t>Opis parametrów technicznych</w:t>
      </w:r>
    </w:p>
    <w:p w:rsidR="00256327" w:rsidRPr="00256327" w:rsidRDefault="00256327" w:rsidP="00256327">
      <w:pPr>
        <w:numPr>
          <w:ilvl w:val="0"/>
          <w:numId w:val="46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 xml:space="preserve">40 zestawów komputerowych (komputer stacjonarny + system operacyjny +, mysz, klawiatura, podkładka żelowa pod mysz i klawiaturę). </w:t>
      </w:r>
      <w:r w:rsidRPr="00256327">
        <w:rPr>
          <w:rFonts w:ascii="Calibri" w:eastAsia="Calibri" w:hAnsi="Calibri" w:cs="Calibri"/>
          <w:sz w:val="22"/>
          <w:szCs w:val="22"/>
          <w:lang w:eastAsia="en-US"/>
        </w:rPr>
        <w:br/>
        <w:t>Zastosowanie: Zestawy komputerowe na potrzeby aplikacji biurowych oraz obliczeniowych. Dostępu do Internetu, poczty elektronicznej, lokalna baza danych.</w:t>
      </w:r>
      <w:r w:rsidRPr="00256327">
        <w:rPr>
          <w:rFonts w:ascii="Calibri" w:eastAsia="Calibri" w:hAnsi="Calibri" w:cs="Calibri"/>
          <w:sz w:val="22"/>
          <w:szCs w:val="22"/>
          <w:lang w:eastAsia="en-US"/>
        </w:rPr>
        <w:br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974"/>
        <w:gridCol w:w="5101"/>
        <w:gridCol w:w="2699"/>
        <w:gridCol w:w="2125"/>
        <w:gridCol w:w="567"/>
        <w:gridCol w:w="1559"/>
      </w:tblGrid>
      <w:tr w:rsidR="00256327" w:rsidRPr="00256327" w:rsidTr="00B16269">
        <w:tc>
          <w:tcPr>
            <w:tcW w:w="825" w:type="dxa"/>
            <w:shd w:val="clear" w:color="auto" w:fill="D9D9D9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327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974" w:type="dxa"/>
            <w:shd w:val="clear" w:color="auto" w:fill="D9D9D9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327">
              <w:rPr>
                <w:rFonts w:ascii="Calibri" w:hAnsi="Calibri" w:cs="Calibri"/>
                <w:sz w:val="22"/>
                <w:szCs w:val="22"/>
              </w:rPr>
              <w:t>Atrybut</w:t>
            </w:r>
          </w:p>
        </w:tc>
        <w:tc>
          <w:tcPr>
            <w:tcW w:w="5101" w:type="dxa"/>
            <w:shd w:val="clear" w:color="auto" w:fill="D9D9D9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327">
              <w:rPr>
                <w:rFonts w:ascii="Calibri" w:hAnsi="Calibri" w:cs="Calibri"/>
                <w:sz w:val="22"/>
                <w:szCs w:val="22"/>
              </w:rPr>
              <w:t>Parametr wymagany</w:t>
            </w:r>
          </w:p>
        </w:tc>
        <w:tc>
          <w:tcPr>
            <w:tcW w:w="2699" w:type="dxa"/>
            <w:shd w:val="clear" w:color="auto" w:fill="D9D9D9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327">
              <w:rPr>
                <w:rFonts w:ascii="Calibri" w:hAnsi="Calibri" w:cs="Calibri"/>
                <w:sz w:val="22"/>
                <w:szCs w:val="22"/>
              </w:rPr>
              <w:t>Parametr oferowany</w:t>
            </w:r>
          </w:p>
          <w:p w:rsidR="00256327" w:rsidRPr="00256327" w:rsidRDefault="00256327" w:rsidP="0025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327">
              <w:rPr>
                <w:rFonts w:ascii="Calibri" w:hAnsi="Calibri" w:cs="Calibri"/>
                <w:sz w:val="22"/>
                <w:szCs w:val="22"/>
              </w:rPr>
              <w:t>(wypełnia wykonawca)</w:t>
            </w:r>
          </w:p>
        </w:tc>
        <w:tc>
          <w:tcPr>
            <w:tcW w:w="4251" w:type="dxa"/>
            <w:gridSpan w:val="3"/>
            <w:shd w:val="clear" w:color="auto" w:fill="D9D9D9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327">
              <w:rPr>
                <w:rFonts w:ascii="Calibri" w:hAnsi="Calibri" w:cs="Calibri"/>
                <w:sz w:val="22"/>
                <w:szCs w:val="22"/>
              </w:rPr>
              <w:t xml:space="preserve">Punktacja </w:t>
            </w:r>
            <w:r w:rsidRPr="00256327">
              <w:rPr>
                <w:rFonts w:ascii="Calibri" w:hAnsi="Calibri" w:cs="Calibri"/>
                <w:sz w:val="22"/>
                <w:szCs w:val="22"/>
              </w:rPr>
              <w:br/>
              <w:t xml:space="preserve">w ramach kryteriów oceny ofert  </w:t>
            </w:r>
            <w:r w:rsidRPr="00256327">
              <w:rPr>
                <w:rFonts w:ascii="Calibri" w:hAnsi="Calibri" w:cs="Calibri"/>
                <w:sz w:val="22"/>
                <w:szCs w:val="22"/>
              </w:rPr>
              <w:br/>
              <w:t>dla Pakietu nr 2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Komputer stacjonarny Small Form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Factor</w:t>
            </w:r>
            <w:proofErr w:type="spellEnd"/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Producent, model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Należy podać model, symbol oraz producenta 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353"/>
        </w:trPr>
        <w:tc>
          <w:tcPr>
            <w:tcW w:w="825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4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5101" w:type="dxa"/>
            <w:vMerge w:val="restart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Wielordzeniowy ze zintegrowaną grafiką osiągający w teście minimum 7200 pkt. (</w:t>
            </w:r>
            <w:hyperlink r:id="rId7" w:history="1">
              <w:r w:rsidRPr="00256327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http</w:t>
              </w:r>
              <w:r w:rsidRPr="00256327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s</w:t>
              </w:r>
              <w:r w:rsidRPr="00256327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://benchmarks.ul.com</w:t>
              </w:r>
            </w:hyperlink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(podać nazwę procesora)</w:t>
            </w:r>
          </w:p>
        </w:tc>
        <w:tc>
          <w:tcPr>
            <w:tcW w:w="2699" w:type="dxa"/>
            <w:vMerge w:val="restart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Del="00A52F30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Dotyczy kryterium „Wydajność procesora”</w:t>
            </w:r>
          </w:p>
        </w:tc>
      </w:tr>
      <w:tr w:rsidR="00256327" w:rsidRPr="00256327" w:rsidTr="00B16269">
        <w:trPr>
          <w:trHeight w:val="101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484509568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oceniany: wydajność procesora mierzona w teście https://benchmarks.ul.com/</w:t>
            </w:r>
            <w:bookmarkEnd w:id="1"/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Punkty 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256327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„Z</w:t>
            </w:r>
            <w:r w:rsidRPr="00256327">
              <w:rPr>
                <w:rFonts w:ascii="Calibri" w:eastAsia="Calibri" w:hAnsi="Calibri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 w:rsidRPr="00256327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”</w:t>
            </w:r>
          </w:p>
        </w:tc>
      </w:tr>
      <w:tr w:rsidR="00256327" w:rsidRPr="00256327" w:rsidTr="00B16269">
        <w:trPr>
          <w:trHeight w:val="101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/>
                <w:sz w:val="22"/>
                <w:szCs w:val="22"/>
                <w:lang w:eastAsia="en-US"/>
              </w:rPr>
              <w:t>7200 pkt – 7399pkt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 pkt</w:t>
            </w:r>
          </w:p>
        </w:tc>
      </w:tr>
      <w:tr w:rsidR="00256327" w:rsidRPr="00256327" w:rsidTr="00B16269">
        <w:trPr>
          <w:trHeight w:val="101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/>
                <w:sz w:val="22"/>
                <w:szCs w:val="22"/>
                <w:lang w:eastAsia="en-US"/>
              </w:rPr>
              <w:t>7400 pkt – 7699 pkt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pkt</w:t>
            </w:r>
          </w:p>
        </w:tc>
      </w:tr>
      <w:tr w:rsidR="00256327" w:rsidRPr="00256327" w:rsidTr="00B16269">
        <w:trPr>
          <w:trHeight w:val="101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/>
                <w:sz w:val="22"/>
                <w:szCs w:val="22"/>
                <w:lang w:eastAsia="en-US"/>
              </w:rPr>
              <w:t>7700 pkt – 7999 pkt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 pkt</w:t>
            </w:r>
          </w:p>
        </w:tc>
      </w:tr>
      <w:tr w:rsidR="00256327" w:rsidRPr="00256327" w:rsidTr="00B16269">
        <w:trPr>
          <w:trHeight w:val="101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8000 pkt – 8999 pkt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 pkt</w:t>
            </w:r>
          </w:p>
        </w:tc>
      </w:tr>
      <w:tr w:rsidR="00256327" w:rsidRPr="00256327" w:rsidTr="00B16269">
        <w:trPr>
          <w:trHeight w:val="101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9000 pkt – 9999 pkt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 pkt</w:t>
            </w:r>
          </w:p>
        </w:tc>
      </w:tr>
      <w:tr w:rsidR="00256327" w:rsidRPr="00256327" w:rsidTr="00B16269">
        <w:trPr>
          <w:trHeight w:val="101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10000 pkt i więcej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pkt</w:t>
            </w:r>
          </w:p>
        </w:tc>
      </w:tr>
      <w:tr w:rsidR="00256327" w:rsidRPr="00256327" w:rsidTr="00B16269">
        <w:trPr>
          <w:trHeight w:val="1104"/>
        </w:trPr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Pamięć operacyjna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Min. 16 GB (2x 8192MB) DDR4 2400 MHz  non-ECC, możliwość rozbudowy o kolejne moduły (min. 32 GB,  nie mniej niż 4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sloty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na pamięć)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Wydajność grafiki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Grafika zintegrowana z procesorem powinna umożliwiać pracę dwumonitorową ze wsparciem DirectX 12,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OpenGL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4.4,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OpenCL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2.0. Pamięć współdzielona z pamięcią RAM dynamicznie przydzielana do min. 1,7GB.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Obsługująca rozdzielczości :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4096x2304@24Hz (HDMI 1.4) 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4096x2304@60Hz (Display Port) 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1920x1200@60 Hz (VGA)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Należy podać nazwę/model układu.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Parametry pamięci masowej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250 GB SSD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Komputer musi umożliwiać instalację min. trzech magazynów dyskowych (dotyczy napędów 2,5” lub M.2”), zaimplementowany w płycie głównej kontroler RAID 0,1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24-bitowa karta dźwiękowa zintegrowana z płytą główną, zgodna z High Definition,  wewnętrzny głośnik w obudowie komputera.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Porty na przednim oraz na tylnym panelu obudowy.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  <w:t>Zatoki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Minimum 1 zatoka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256327">
                <w:rPr>
                  <w:rFonts w:ascii="Calibri" w:eastAsia="Calibri" w:hAnsi="Calibri" w:cs="Calibri"/>
                  <w:sz w:val="22"/>
                  <w:szCs w:val="22"/>
                  <w:lang w:eastAsia="en-US"/>
                </w:rPr>
                <w:t>3,5”</w:t>
              </w:r>
            </w:smartTag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wewnętrzna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256327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  <w:t>Obudowa i zasilacz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Zasilacz o mocy maks. 210W pracujący w sieci 230V 50/60Hz prądu zmiennego i efektywności min. 85% przy obciążeniu zasilacza na poziomie 50% oraz o efektywności min. 80% przy obciążeniu zasilacza na poziomie 100%. Model oferowanego zasilacza  musi znajdować się w zestawieniu opublikowanym na stronie </w:t>
            </w:r>
            <w:hyperlink r:id="rId8" w:history="1">
              <w:r w:rsidRPr="00256327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http://www.plugloadsolutions.com/80pluspowersupplies.aspx</w:t>
              </w:r>
            </w:hyperlink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 W trybie art. 26 ust. 1 ustawy Prawo zamówień publicznych, Zamawiający będzie żądał wydruku potwierdzającego spełnienie wymogu 80plus. W przypadku kiedy u producenta występuje kilka zasilaczy, które są montowane na etapie produkcji w fabryce załączyć wydruki dla wszystkich zasilaczy (patrz rozdział X SIWZ ust. 16).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Moduł konstrukcji obudowy w jednostce centralnej komputera powinien pozwalać na demontaż kart rozszerzeń, napędu optycznego i  dysku twardego  bez konieczności użycia narzędzi (wyklucza się użycia wkrętów, śrub motylkowych).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Napęd optyczny DVD+/-RW  typu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slim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Obudowa sygnowana logo producenta komputera.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Obudowa umożliwiająca pracę komputera w pionie i w poziomie. Obudowa musi posiadać nóżki antypoślizgowe.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135"/>
        </w:trPr>
        <w:tc>
          <w:tcPr>
            <w:tcW w:w="825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74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256327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  <w:t>Wymiary obudowy</w:t>
            </w:r>
          </w:p>
        </w:tc>
        <w:tc>
          <w:tcPr>
            <w:tcW w:w="5101" w:type="dxa"/>
            <w:vMerge w:val="restart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Szerokość/Głębokość/Wysokość [mm] nie więcej niż 338/395/102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Suma długości krawędzi nie większa niż 835 mm</w:t>
            </w:r>
          </w:p>
        </w:tc>
        <w:tc>
          <w:tcPr>
            <w:tcW w:w="2699" w:type="dxa"/>
            <w:vMerge w:val="restart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Del="00A52F30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Dotyczy kryterium „Wymiary obudowy”</w:t>
            </w:r>
          </w:p>
        </w:tc>
      </w:tr>
      <w:tr w:rsidR="00256327" w:rsidRPr="00256327" w:rsidTr="00B16269">
        <w:trPr>
          <w:trHeight w:val="135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oceniany: wymiary obudowy stanowiące sumę długości  jej krawędzi (szerokości/głębokości/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wysokości)</w:t>
            </w:r>
          </w:p>
        </w:tc>
        <w:tc>
          <w:tcPr>
            <w:tcW w:w="1559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Punkty 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256327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„Z</w:t>
            </w:r>
            <w:r w:rsidRPr="00256327">
              <w:rPr>
                <w:rFonts w:ascii="Calibri" w:eastAsia="Calibri" w:hAnsi="Calibri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  <w:r w:rsidRPr="00256327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”</w:t>
            </w:r>
          </w:p>
        </w:tc>
      </w:tr>
      <w:tr w:rsidR="00256327" w:rsidRPr="00256327" w:rsidTr="00B16269">
        <w:trPr>
          <w:trHeight w:val="135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Suma krawędzi </w:t>
            </w:r>
          </w:p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od 835 do 800 mm</w:t>
            </w:r>
          </w:p>
        </w:tc>
        <w:tc>
          <w:tcPr>
            <w:tcW w:w="1559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 pkt</w:t>
            </w:r>
          </w:p>
        </w:tc>
      </w:tr>
      <w:tr w:rsidR="00256327" w:rsidRPr="00256327" w:rsidTr="00B16269">
        <w:trPr>
          <w:trHeight w:val="90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Suma krawędzi </w:t>
            </w:r>
          </w:p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od 799 do 750 mm</w:t>
            </w:r>
          </w:p>
        </w:tc>
        <w:tc>
          <w:tcPr>
            <w:tcW w:w="1559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 pkt</w:t>
            </w:r>
          </w:p>
        </w:tc>
      </w:tr>
      <w:tr w:rsidR="00256327" w:rsidRPr="00256327" w:rsidTr="00B16269">
        <w:trPr>
          <w:trHeight w:val="90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Suma krawędzi </w:t>
            </w:r>
          </w:p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od 749 do 700 mm</w:t>
            </w:r>
          </w:p>
        </w:tc>
        <w:tc>
          <w:tcPr>
            <w:tcW w:w="1559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 pkt</w:t>
            </w:r>
          </w:p>
        </w:tc>
      </w:tr>
      <w:tr w:rsidR="00256327" w:rsidRPr="00256327" w:rsidTr="00B16269">
        <w:trPr>
          <w:trHeight w:val="90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Suma krawędzi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od 699 do 650 mm (i mniej)</w:t>
            </w:r>
          </w:p>
        </w:tc>
        <w:tc>
          <w:tcPr>
            <w:tcW w:w="1559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pkt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  <w:t>Komunikacja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Minimum 1 karta sieciowa 10/100/1000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Mbps</w:t>
            </w:r>
            <w:proofErr w:type="spellEnd"/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Złącza – obudowa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Minimum 8 portów USB (minimum 2xUSB 3.0).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Minimum 2 porty USB z przodu obudowy.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Nie dopuszcza się stosowania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HUB’ów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USB 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Złącza – płyta główna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Złącza PCI Express 16x – nie mniej niż 1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Złącza PCI Express 1x lub 4x– nie mniej niż 1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Złącza SATA – nie mniej niż 3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DisplayPort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– nie mniej niż 2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HDMI, DVI, VGA  - opcjonalnie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74" w:type="dxa"/>
            <w:vAlign w:val="center"/>
          </w:tcPr>
          <w:p w:rsidR="00256327" w:rsidRPr="00256327" w:rsidDel="00921E2E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Microsoft Windows 10 Professional (64-bit)* lub równoważny, fabrycznie preinstalowany przez producenta oferowanego komputera,  klucz licencyjny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systemu operacyjnego musi być zapisany trwale w BIOS i umożliwiać jego instalacje na podstawie dołączonego nośnika bezpośrednio z wbudowanego napędu bez potrzeby ręcznego wpisywania klucza licencyjnego.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System równoważny musi w pełni współpracować ze środowiskiem sieciowym i systemami Zamawiającego (pełna integracja z AD)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Zdalne zarządzanie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Wbudowana w płytę główną technologia zarządzania i monitorowania komputerem na poziomie sprzętowym, działająca niezależnie od stanu czy obecności systemu operacyjnego oraz stanu włączenia komputera podczas pracy na zasilaczu sieciowym. Obsługująca zdalną komunikację sieciową w oparciu o protokół IPv4 oraz IPv6, a także zapewniająca: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monitorowanie konfiguracji komponentów komputera: CPU, pamięć, dysk, wersja BIOS płyty głównej,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zdalną konfigurację ustawień BIOS,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zdalne przejęcie konsoli tekstowej systemu, 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przekierowanie procesu ładowania systemu operacyjnego z wirtualnego napędu z  serwera zarządzającego,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zdalne przejecie pełnej konsoli graficznej systemu bez udziału systemu operacyjnego ani dodatkowych programów, również w przypadku braku lub uszkodzenia systemu operacyjnego do rozdzielczości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1920x1080 włącznie;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zapis i przechowywanie dodatkowych informacji o wersji zainstalowanego oprogramowania i zdalny odczyt tych informacji (wersja, zainstalowane uaktualnienia, sygnatury wirusów, itp.) z wbudowanej pamięci nieulotnej.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wbudowany sprzętowo log operacji  zdalnego zarządzania, możliwy do kasowania tylko przez upoważnionego użytkownika systemu sprzętowego zarządzania zdalnego.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Certyfikaty i standardy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Certyfikat Energy Star, Energy Star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Qualified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Znak bezpieczeństwa CE,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RoHS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równoważne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(Zamawiający nie wymaga załączania ww. dokumentów do oferty)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690"/>
        </w:trPr>
        <w:tc>
          <w:tcPr>
            <w:tcW w:w="825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74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Gwarancja i serwis</w:t>
            </w:r>
          </w:p>
        </w:tc>
        <w:tc>
          <w:tcPr>
            <w:tcW w:w="5101" w:type="dxa"/>
            <w:vMerge w:val="restart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3 lata na miejscu u klienta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 przypadku awarii dysków twardych dysk pozostaje u Zamawiającego. W przypadku awarii dysków twardych Zamawiający nie dopuszcza możliwości przekazania dysku do naprawy poza siedzibę Zamawiającego. 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 naprawy usterki - do końca następnego dnia roboczego. Gwarancja musi oferować przez cały okres: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usługi serwisowe świadczone w miejscu instalacji urządzenia oraz możliwość zgłaszania usterek przez portal internetowy dostępny online w trybie 24 godzinnym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- dostępność wsparcia technicznego minimum 5 dni w tygodniu (w języku polskim w dni robocze)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Serwis oferowanych urządzeń musi być realizowany przez producenta lub autoryzowanego partnera serwisowego producenta. Firma serwisująca musi znajdować się na terenie RP.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Zamawiający wymaga aby najpóźniej w dniu dostawy zostały przekazane dokumenty potwierdzające okres i warunki gwarancji </w:t>
            </w:r>
            <w:r w:rsidRPr="002563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(w tym </w:t>
            </w:r>
            <w:r w:rsidRPr="00256327">
              <w:rPr>
                <w:rFonts w:ascii="Calibri" w:hAnsi="Calibri"/>
                <w:color w:val="000000"/>
                <w:sz w:val="22"/>
                <w:szCs w:val="22"/>
              </w:rPr>
              <w:t>wydruk ze strony producenta, weryfikacja po numerze seryjnym\identyfikacyjnym lub dokument potwierdzający okres gwarancji wystawiony przez producenta</w:t>
            </w:r>
            <w:r w:rsidRPr="002563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699" w:type="dxa"/>
            <w:vMerge w:val="restart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Dotyczy kryterium</w:t>
            </w:r>
          </w:p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„Gwarancja – komputer stacjonarny”</w:t>
            </w:r>
          </w:p>
        </w:tc>
      </w:tr>
      <w:tr w:rsidR="00256327" w:rsidRPr="00256327" w:rsidTr="00B16269">
        <w:trPr>
          <w:trHeight w:val="690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Parametr oceniany: zaoferowany okres gwarancji dla komputera stacjonarnego 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Punkty </w:t>
            </w:r>
          </w:p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„</w:t>
            </w:r>
            <w:r w:rsidRPr="00256327">
              <w:rPr>
                <w:rFonts w:ascii="Calibri" w:eastAsia="Calibri" w:hAnsi="Calibri"/>
                <w:sz w:val="24"/>
                <w:szCs w:val="22"/>
                <w:lang w:eastAsia="en-US"/>
              </w:rPr>
              <w:t>Z</w:t>
            </w:r>
            <w:r w:rsidRPr="00256327">
              <w:rPr>
                <w:rFonts w:ascii="Calibri" w:eastAsia="Calibri" w:hAnsi="Calibri"/>
                <w:sz w:val="24"/>
                <w:szCs w:val="24"/>
                <w:vertAlign w:val="subscript"/>
                <w:lang w:eastAsia="en-US"/>
              </w:rPr>
              <w:t>4</w:t>
            </w:r>
            <w:r w:rsidRPr="00256327">
              <w:rPr>
                <w:rFonts w:ascii="Calibri" w:eastAsia="Calibri" w:hAnsi="Calibri"/>
                <w:sz w:val="24"/>
                <w:szCs w:val="22"/>
                <w:lang w:eastAsia="en-US"/>
              </w:rPr>
              <w:t>”</w:t>
            </w:r>
          </w:p>
        </w:tc>
      </w:tr>
      <w:tr w:rsidR="00256327" w:rsidRPr="00256327" w:rsidTr="00B16269">
        <w:trPr>
          <w:trHeight w:val="690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 lata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 pkt</w:t>
            </w:r>
          </w:p>
        </w:tc>
      </w:tr>
      <w:tr w:rsidR="00256327" w:rsidRPr="00256327" w:rsidTr="00B16269">
        <w:trPr>
          <w:trHeight w:val="690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 lata</w:t>
            </w:r>
          </w:p>
        </w:tc>
        <w:tc>
          <w:tcPr>
            <w:tcW w:w="2126" w:type="dxa"/>
            <w:gridSpan w:val="2"/>
            <w:vAlign w:val="center"/>
          </w:tcPr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 pkt</w:t>
            </w:r>
          </w:p>
        </w:tc>
      </w:tr>
      <w:tr w:rsidR="00256327" w:rsidRPr="00256327" w:rsidTr="00B16269">
        <w:trPr>
          <w:trHeight w:val="690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bottom w:val="single" w:sz="4" w:space="0" w:color="000000"/>
            </w:tcBorders>
            <w:vAlign w:val="center"/>
          </w:tcPr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 lat i więcej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256327" w:rsidRPr="00256327" w:rsidDel="00B75445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pkt</w:t>
            </w:r>
          </w:p>
        </w:tc>
      </w:tr>
      <w:tr w:rsidR="00256327" w:rsidRPr="00256327" w:rsidTr="00B16269">
        <w:tc>
          <w:tcPr>
            <w:tcW w:w="825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74" w:type="dxa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Wsparcie techniczne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telefonicznego sprawdzenia konfiguracji sprzętowej komputera oraz warunków gwarancji po podaniu numeru seryjnego lub identyfikacyjnego bezpośrednio u producenta lub jego przedstawiciela.</w:t>
            </w:r>
          </w:p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Dostęp do najnowszych sterowników i uaktualnień na stronie producenta zestawu realizowany poprzez podanie na dedykowanej stronie internetowej producenta numeru seryjnego lub modelu komputera – podać adres do strony www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</w:tcBorders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825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74" w:type="dxa"/>
            <w:vMerge w:val="restart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Wymagania dodatkowe</w:t>
            </w: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Blokada portów USB, złącze typu 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Kensington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równoważne, mysz laserowa USB i klawiatura USB przewodowe 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405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czytnik kart pamięci (opcjonalnie)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203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Podkładka żelowa pod mysz i klawiaturę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202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Komputer ma być podłączany do monitora z wykorzystaniem złącza cyfrowego.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405"/>
        </w:trPr>
        <w:tc>
          <w:tcPr>
            <w:tcW w:w="825" w:type="dxa"/>
            <w:vMerge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Align w:val="center"/>
          </w:tcPr>
          <w:p w:rsidR="00256327" w:rsidRPr="00256327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Proponowany monitor musi gwarantować podłączenie do komputera z wykorzystaniem złącza cyfrowego.</w:t>
            </w:r>
          </w:p>
        </w:tc>
        <w:tc>
          <w:tcPr>
            <w:tcW w:w="2699" w:type="dxa"/>
            <w:vAlign w:val="center"/>
          </w:tcPr>
          <w:p w:rsidR="00256327" w:rsidRPr="00256327" w:rsidRDefault="00256327" w:rsidP="002563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256327" w:rsidRPr="00256327" w:rsidRDefault="00256327" w:rsidP="0025632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256327" w:rsidRPr="00256327" w:rsidRDefault="00256327" w:rsidP="00256327">
      <w:p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Pr="00256327" w:rsidRDefault="00256327" w:rsidP="00256327">
      <w:p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 xml:space="preserve">*) System operacyjny </w:t>
      </w:r>
    </w:p>
    <w:p w:rsidR="00256327" w:rsidRPr="00256327" w:rsidRDefault="00256327" w:rsidP="00256327">
      <w:pPr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MS Windows 10 Professional 64 bit PL lub równoważny spełniający następujące warunki równoważności: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system 64 bitowy (z dostępną wersją 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pozwalać na instalację oprogramowania użytkowanego na komputerach Zamawiającego w tym:</w:t>
      </w:r>
    </w:p>
    <w:p w:rsidR="00256327" w:rsidRPr="00256327" w:rsidRDefault="00256327" w:rsidP="00256327">
      <w:pPr>
        <w:numPr>
          <w:ilvl w:val="0"/>
          <w:numId w:val="48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AU" w:eastAsia="en-US"/>
        </w:rPr>
      </w:pPr>
      <w:r w:rsidRPr="00256327">
        <w:rPr>
          <w:rFonts w:ascii="Calibri" w:eastAsia="Calibri" w:hAnsi="Calibri" w:cs="Calibri"/>
          <w:sz w:val="22"/>
          <w:szCs w:val="22"/>
          <w:lang w:val="en-AU" w:eastAsia="en-US"/>
        </w:rPr>
        <w:t>MS Office 2010, 2013, 2016, 2019, Office 365</w:t>
      </w:r>
    </w:p>
    <w:p w:rsidR="00256327" w:rsidRPr="00256327" w:rsidRDefault="00256327" w:rsidP="00256327">
      <w:pPr>
        <w:numPr>
          <w:ilvl w:val="0"/>
          <w:numId w:val="48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AU" w:eastAsia="en-US"/>
        </w:rPr>
      </w:pPr>
      <w:r w:rsidRPr="00256327">
        <w:rPr>
          <w:rFonts w:ascii="Calibri" w:eastAsia="Calibri" w:hAnsi="Calibri" w:cs="Calibri"/>
          <w:sz w:val="22"/>
          <w:szCs w:val="22"/>
          <w:lang w:val="en-AU" w:eastAsia="en-US"/>
        </w:rPr>
        <w:t>SAS, LOG System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pozwalać na instalację i poprawne funkcjonowanie oprogramowania służącego do obsługi dokumentów ubezpieczeniowych i wymiany informacji z Zakładem Ubezpieczeń Społecznych.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w pełni współpracować ze środowiskiem Active Directory MS Windows Server 2008/2012/2016.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licencja musi:</w:t>
      </w:r>
    </w:p>
    <w:p w:rsidR="00256327" w:rsidRPr="00256327" w:rsidRDefault="00256327" w:rsidP="00256327">
      <w:pPr>
        <w:numPr>
          <w:ilvl w:val="0"/>
          <w:numId w:val="49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być nieograniczona w czasie,</w:t>
      </w:r>
    </w:p>
    <w:p w:rsidR="00256327" w:rsidRPr="00256327" w:rsidRDefault="00256327" w:rsidP="00256327">
      <w:pPr>
        <w:numPr>
          <w:ilvl w:val="0"/>
          <w:numId w:val="49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lastRenderedPageBreak/>
        <w:t>pozwalać na użytkowanie komercyjne,</w:t>
      </w:r>
    </w:p>
    <w:p w:rsidR="00256327" w:rsidRPr="00256327" w:rsidRDefault="00256327" w:rsidP="00256327">
      <w:pPr>
        <w:numPr>
          <w:ilvl w:val="0"/>
          <w:numId w:val="49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pozwalać na instalację na oferowanym sprzęcie nieograniczoną ilość razy,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mieć możliwość skonfigurowania przez administratora regularnego i automatycznego pobierania i instalowania aktualizacji i poprawek do systemu operacyjnego.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darmowe aktualizacje w ramach wersji systemu operacyjnego przez Internet (niezbędne aktualizacje, poprawki, biuletyny bezpieczeństwa muszą być dostarczane bez dodatkowych opłat); internetowa aktualizacja zapewniona w języku polskim;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na stronie WWW producenta komputera powinny być dostępne aktualne wersje kompletu sterowników do urządzeń i składników stanowiących wyposażenie dostarczanego komputera dla dostarczonego systemu operacyjnego.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mieć możliwość tworzenia wielu kont użytkowników o różnych poziomach uprawnień, zabezpieczony hasłem dostęp do systemu, konta i profile użytkowników zarządzane zdalnie; praca systemu w trybie ochrony kont użytkowników.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mieć zintegrowaną zaporę sieciową oraz zintegrowaną z systemem konsolę do zarządzania ustawieniami zapory i regułami IP v4 i v6.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być wyposażony w graficzny interfejs użytkownika w języku polskim.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posiadać wbudowane co najmniej następujące elementy zlokalizowane w języku polskim: menu, system pomocy, komunikaty systemowe.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zdalna pomoc i współdzielenie aplikacji – możliwość zdalnego przejęcia sesji zalogowanego użytkownika celem rozwiązania problemu z komputerem.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zintegrowane oprogramowanie dla tworzenia kopii zapasowych (Backup), automatyczne wykonywanie kopii plików z możliwością automatycznego przywrócenia wersji wcześniejszej; możliwość przywracania plików systemowych.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lastRenderedPageBreak/>
        <w:t>zintegrowany z systemem moduł wyszukiwania informacji (plików różnego typu) dostępny z kilku poziomów: poziom menu, poziom otwartego okna systemu operacyjnego.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być w pełni kompatybilny z oferowanym sprzętem.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musi zapewniać wsparcie dla użytkowanych u Zamawiającego oraz większości powszechnie używanych urządzeń i standardów dotyczących drukarek, skanerów, urządzeń sieciowych, USB, e-</w:t>
      </w:r>
      <w:proofErr w:type="spellStart"/>
      <w:r w:rsidRPr="00256327">
        <w:rPr>
          <w:rFonts w:ascii="Calibri" w:eastAsia="Calibri" w:hAnsi="Calibri" w:cs="Calibri"/>
          <w:sz w:val="22"/>
          <w:szCs w:val="22"/>
          <w:lang w:eastAsia="en-US"/>
        </w:rPr>
        <w:t>Sata</w:t>
      </w:r>
      <w:proofErr w:type="spellEnd"/>
      <w:r w:rsidRPr="00256327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 w:rsidRPr="00256327">
        <w:rPr>
          <w:rFonts w:ascii="Calibri" w:eastAsia="Calibri" w:hAnsi="Calibri" w:cs="Calibri"/>
          <w:sz w:val="22"/>
          <w:szCs w:val="22"/>
          <w:lang w:eastAsia="en-US"/>
        </w:rPr>
        <w:t>FireWare</w:t>
      </w:r>
      <w:proofErr w:type="spellEnd"/>
      <w:r w:rsidRPr="00256327">
        <w:rPr>
          <w:rFonts w:ascii="Calibri" w:eastAsia="Calibri" w:hAnsi="Calibri" w:cs="Calibri"/>
          <w:sz w:val="22"/>
          <w:szCs w:val="22"/>
          <w:lang w:eastAsia="en-US"/>
        </w:rPr>
        <w:t xml:space="preserve">, Bluetooth, urządzeń Plug &amp; Play, </w:t>
      </w:r>
      <w:proofErr w:type="spellStart"/>
      <w:r w:rsidRPr="00256327">
        <w:rPr>
          <w:rFonts w:ascii="Calibri" w:eastAsia="Calibri" w:hAnsi="Calibri" w:cs="Calibri"/>
          <w:sz w:val="22"/>
          <w:szCs w:val="22"/>
          <w:lang w:eastAsia="en-US"/>
        </w:rPr>
        <w:t>WiFi</w:t>
      </w:r>
      <w:proofErr w:type="spellEnd"/>
      <w:r w:rsidRPr="0025632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256327" w:rsidRPr="00256327" w:rsidRDefault="00256327" w:rsidP="00256327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nie może ograniczać możliwości instalacji w przyszłości nowego powszechnie dostępnego sprzętu (sterowniki) oraz oprogramowania, w tym zgodności z oprogramowaniem użytkowanym i zakupionym przez Zamawiającego.</w:t>
      </w:r>
    </w:p>
    <w:p w:rsidR="00256327" w:rsidRPr="00256327" w:rsidRDefault="00256327" w:rsidP="0025632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Zamawiający sugeruje system operacyjny Microsoft Windows 10 Professional PL z uwagi na fakt, iż komputery użytkowane przez pracowników Zamawiającego działają w tym systemie a pracownicy są przeszkoleni w jego obsłudze.</w:t>
      </w:r>
      <w:r w:rsidRPr="00256327">
        <w:rPr>
          <w:rFonts w:ascii="Calibri" w:eastAsia="Calibri" w:hAnsi="Calibri" w:cs="Calibri"/>
          <w:sz w:val="22"/>
          <w:szCs w:val="22"/>
          <w:lang w:eastAsia="en-US"/>
        </w:rPr>
        <w:cr/>
      </w:r>
    </w:p>
    <w:p w:rsidR="00256327" w:rsidRDefault="00256327" w:rsidP="0025632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Pr="00256327" w:rsidRDefault="00256327" w:rsidP="00256327">
      <w:pPr>
        <w:spacing w:after="200" w:line="276" w:lineRule="auto"/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Pr="00256327" w:rsidRDefault="00256327" w:rsidP="00256327">
      <w:pPr>
        <w:numPr>
          <w:ilvl w:val="0"/>
          <w:numId w:val="46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Monitory – 90 szt.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24"/>
        <w:gridCol w:w="4088"/>
        <w:gridCol w:w="3732"/>
        <w:gridCol w:w="1425"/>
        <w:gridCol w:w="1364"/>
      </w:tblGrid>
      <w:tr w:rsidR="00256327" w:rsidRPr="00256327" w:rsidTr="00B16269">
        <w:tc>
          <w:tcPr>
            <w:tcW w:w="14567" w:type="dxa"/>
            <w:gridSpan w:val="6"/>
            <w:shd w:val="clear" w:color="auto" w:fill="D9D9D9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Monitor</w:t>
            </w:r>
          </w:p>
        </w:tc>
      </w:tr>
      <w:tr w:rsidR="00256327" w:rsidRPr="00256327" w:rsidTr="00B16269">
        <w:tc>
          <w:tcPr>
            <w:tcW w:w="534" w:type="dxa"/>
            <w:shd w:val="clear" w:color="auto" w:fill="D9D9D9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Atrybut</w:t>
            </w:r>
          </w:p>
        </w:tc>
        <w:tc>
          <w:tcPr>
            <w:tcW w:w="4088" w:type="dxa"/>
            <w:shd w:val="clear" w:color="auto" w:fill="D9D9D9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wymagany</w:t>
            </w:r>
          </w:p>
        </w:tc>
        <w:tc>
          <w:tcPr>
            <w:tcW w:w="3732" w:type="dxa"/>
            <w:shd w:val="clear" w:color="auto" w:fill="D9D9D9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oferowany</w:t>
            </w:r>
          </w:p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(wypełnia wykonawca)</w:t>
            </w:r>
          </w:p>
        </w:tc>
        <w:tc>
          <w:tcPr>
            <w:tcW w:w="2789" w:type="dxa"/>
            <w:gridSpan w:val="2"/>
            <w:shd w:val="clear" w:color="auto" w:fill="D9D9D9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Punktacja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w ramach kryteriów oceny ofert 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ofercie wymagane jest podanie modelu, symbolu oraz producenta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 ekranu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Ekran ciekłokrystaliczny  IPS z aktywną matrycą min. 23” (16:9)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Rozmiar plamki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maks. 0,265 mm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Min. 250 cd/m2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1000:1,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dynamiczny nie mniej niż 4 000 000:1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Kąty widzenia (pion/poziom)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mniejszy niż 178/178 stopni (poziomo/pionowo)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 reakcji matrycy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maks. 8 ms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Rozdzielczość nominalna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1920 x 1080 przy 60Hz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Pochylenie monitora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zakresie min. 25 stopni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Wydłużenie w pionie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min. 120 mm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PIVOT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Powłoka powierzchni ekranu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Antyodblaskowa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Podświetlenie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podświetlenia LED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Zużycie energii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więcej niż 20 W (standardowo) / 40 W (maksymalnie), czuwanie nie więcej niż 0,5W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Bezpieczeństwo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Monitor musi być wyposażony w tzw.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Kensington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Slot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Waga z podstawą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Maks. 5,80 kg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Złącza ( nie mniej niż)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1x 15-stykowe D-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Sub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1x DVI-D (z HDCP) lub HDMI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1x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DisplayPort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3 x USB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256327">
        <w:trPr>
          <w:trHeight w:val="1461"/>
        </w:trPr>
        <w:tc>
          <w:tcPr>
            <w:tcW w:w="534" w:type="dxa"/>
            <w:vMerge w:val="restart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424" w:type="dxa"/>
            <w:vMerge w:val="restart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Gwarancja i serwis </w:t>
            </w:r>
          </w:p>
        </w:tc>
        <w:tc>
          <w:tcPr>
            <w:tcW w:w="4088" w:type="dxa"/>
            <w:vMerge w:val="restart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3 lata na miejscu u klienta</w:t>
            </w:r>
          </w:p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 usunięcia usterki - do końca następnego dnia roboczego.</w:t>
            </w:r>
          </w:p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Gwarancja musi oferować przez cały okres:</w:t>
            </w:r>
          </w:p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usługi serwisowe świadczone w miejscu instalacji urządzenia oraz możliwość zgłaszania usterek przez portal internetowy dostępny online w trybie 24 godzinnym</w:t>
            </w:r>
          </w:p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Dostępność wsparcia technicznego minimum 5 dni w tygodniu (w języku polskim w dni robocze).</w:t>
            </w:r>
          </w:p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Serwis oferowanych urządzeń musi być realizowany przez producenta lub autoryzowanego partnera serwisowego producenta. Firma serwisująca musi 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znajdować się na terenie RP. </w:t>
            </w:r>
          </w:p>
          <w:p w:rsidR="00256327" w:rsidRDefault="00256327" w:rsidP="00256327">
            <w:pPr>
              <w:tabs>
                <w:tab w:val="left" w:pos="7875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56327" w:rsidRDefault="00256327" w:rsidP="00256327">
            <w:pPr>
              <w:tabs>
                <w:tab w:val="left" w:pos="7875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56327" w:rsidRPr="00256327" w:rsidRDefault="00256327" w:rsidP="00256327">
            <w:pPr>
              <w:tabs>
                <w:tab w:val="left" w:pos="7875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Gwarancja zero martwych pikseli</w:t>
            </w:r>
          </w:p>
        </w:tc>
        <w:tc>
          <w:tcPr>
            <w:tcW w:w="3732" w:type="dxa"/>
            <w:vMerge w:val="restart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Dotyczy kryterium „Gwarancja – monitor”</w:t>
            </w:r>
          </w:p>
        </w:tc>
      </w:tr>
      <w:tr w:rsidR="00256327" w:rsidRPr="00256327" w:rsidTr="00B16269">
        <w:trPr>
          <w:trHeight w:val="1905"/>
        </w:trPr>
        <w:tc>
          <w:tcPr>
            <w:tcW w:w="53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88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27" w:rsidRPr="00256327" w:rsidDel="00B75445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Parametr oceniany: zaoferowany okres gwarancji monitora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327" w:rsidRPr="00256327" w:rsidDel="00B75445" w:rsidRDefault="00256327" w:rsidP="0025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Punkty „Z</w:t>
            </w:r>
            <w:r w:rsidRPr="00256327">
              <w:rPr>
                <w:rFonts w:ascii="Calibri" w:eastAsia="Calibri" w:hAnsi="Calibri" w:cs="Calibri"/>
                <w:sz w:val="22"/>
                <w:szCs w:val="22"/>
                <w:vertAlign w:val="subscript"/>
                <w:lang w:eastAsia="en-US"/>
              </w:rPr>
              <w:t>5</w:t>
            </w: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</w:tr>
      <w:tr w:rsidR="00256327" w:rsidRPr="00256327" w:rsidTr="00B16269">
        <w:trPr>
          <w:trHeight w:val="1048"/>
        </w:trPr>
        <w:tc>
          <w:tcPr>
            <w:tcW w:w="53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88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27" w:rsidRPr="00256327" w:rsidDel="00631B68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 lata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 pkt</w:t>
            </w:r>
          </w:p>
        </w:tc>
      </w:tr>
      <w:tr w:rsidR="00256327" w:rsidRPr="00256327" w:rsidTr="00B16269">
        <w:trPr>
          <w:trHeight w:val="1740"/>
        </w:trPr>
        <w:tc>
          <w:tcPr>
            <w:tcW w:w="53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88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27" w:rsidRPr="00256327" w:rsidDel="00631B68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 lata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 pkt </w:t>
            </w:r>
          </w:p>
        </w:tc>
      </w:tr>
      <w:tr w:rsidR="00256327" w:rsidRPr="00256327" w:rsidTr="00B16269">
        <w:trPr>
          <w:trHeight w:val="1695"/>
        </w:trPr>
        <w:tc>
          <w:tcPr>
            <w:tcW w:w="53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88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327" w:rsidRPr="00256327" w:rsidDel="00631B68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 lat i więcej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pkt</w:t>
            </w:r>
          </w:p>
        </w:tc>
      </w:tr>
      <w:tr w:rsidR="00256327" w:rsidRPr="00256327" w:rsidTr="00B16269">
        <w:tc>
          <w:tcPr>
            <w:tcW w:w="53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424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Certyfikaty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Oferowany monitor musi spełniać normy: TCO, EPEAT Gold, ENERGY STAR, </w:t>
            </w:r>
            <w:proofErr w:type="spellStart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RoHS</w:t>
            </w:r>
            <w:proofErr w:type="spellEnd"/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równoważne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B16269">
        <w:trPr>
          <w:trHeight w:val="405"/>
        </w:trPr>
        <w:tc>
          <w:tcPr>
            <w:tcW w:w="534" w:type="dxa"/>
            <w:vMerge w:val="restart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24" w:type="dxa"/>
            <w:vMerge w:val="restart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Odłączana stopa z VESA 100mm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256327" w:rsidRPr="00256327" w:rsidTr="00256327">
        <w:trPr>
          <w:trHeight w:val="785"/>
        </w:trPr>
        <w:tc>
          <w:tcPr>
            <w:tcW w:w="534" w:type="dxa"/>
            <w:vMerge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vMerge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88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Proponowany monitor ma być podłączany do komputera z wykorzystaniem złącza cyfrowego.</w:t>
            </w:r>
          </w:p>
        </w:tc>
        <w:tc>
          <w:tcPr>
            <w:tcW w:w="3732" w:type="dxa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256327" w:rsidRPr="00256327" w:rsidRDefault="00256327" w:rsidP="00256327">
            <w:pPr>
              <w:tabs>
                <w:tab w:val="left" w:pos="7875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563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</w:tbl>
    <w:p w:rsidR="00256327" w:rsidRPr="00256327" w:rsidRDefault="00256327" w:rsidP="00256327">
      <w:pPr>
        <w:tabs>
          <w:tab w:val="left" w:pos="7875"/>
        </w:tabs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 xml:space="preserve">Oświadczamy, że oferowane, powyżej wyspecyfikowane urządzenia są kompletne i po uruchomieniu będą  gotowe do pracy zgodnie z przeznaczeniem bez żadnych dodatkowych zakupów inwestycyjnych.  </w:t>
      </w:r>
    </w:p>
    <w:p w:rsidR="00256327" w:rsidRPr="00256327" w:rsidRDefault="00256327" w:rsidP="00256327">
      <w:pPr>
        <w:tabs>
          <w:tab w:val="left" w:pos="787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56327" w:rsidRDefault="00256327" w:rsidP="0025632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…………………..……….…………………………………………..</w:t>
      </w:r>
    </w:p>
    <w:p w:rsidR="00256327" w:rsidRPr="00256327" w:rsidRDefault="00256327" w:rsidP="00256327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sz w:val="22"/>
          <w:szCs w:val="22"/>
          <w:lang w:eastAsia="en-US"/>
        </w:rPr>
        <w:t>Podpis uprawnionego przedstawiciela Wykonawcy</w:t>
      </w:r>
    </w:p>
    <w:p w:rsidR="00256327" w:rsidRPr="00256327" w:rsidRDefault="00256327" w:rsidP="00256327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56327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Dokument należy wypełnić elektronicznie i pod rygorem nieważności należy wnieść w postaci elektronicznej opatrzonej kwalifikowanym podpisem elektronicznym przez upoważnione osoby</w:t>
      </w:r>
    </w:p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</w:p>
    <w:sectPr w:rsidR="00E91C67" w:rsidRPr="00C563B4" w:rsidSect="007F2C40">
      <w:headerReference w:type="default" r:id="rId9"/>
      <w:footerReference w:type="default" r:id="rId10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E7" w:rsidRDefault="001D12E7" w:rsidP="000917CF">
      <w:r>
        <w:separator/>
      </w:r>
    </w:p>
  </w:endnote>
  <w:endnote w:type="continuationSeparator" w:id="0">
    <w:p w:rsidR="001D12E7" w:rsidRDefault="001D12E7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E" w:rsidRDefault="00550E8E" w:rsidP="00550E8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BCB3CE" wp14:editId="714ACA76">
              <wp:simplePos x="0" y="0"/>
              <wp:positionH relativeFrom="column">
                <wp:posOffset>-118746</wp:posOffset>
              </wp:positionH>
              <wp:positionV relativeFrom="paragraph">
                <wp:posOffset>35560</wp:posOffset>
              </wp:positionV>
              <wp:extent cx="8982075" cy="9525"/>
              <wp:effectExtent l="0" t="0" r="28575" b="2857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820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4BB91" id="Łącznik prostoliniowy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2.8pt" to="697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550E8E" w:rsidTr="000D0AF2">
      <w:trPr>
        <w:jc w:val="right"/>
      </w:trPr>
      <w:tc>
        <w:tcPr>
          <w:tcW w:w="8324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Karolkowa 30, 01-207 Warszawa tel. +48 22 376 78 00 fax +48 22 376 78 01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550E8E" w:rsidRPr="004A25FC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953A8D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:rsidR="00550E8E" w:rsidRDefault="001D12E7" w:rsidP="000D0AF2">
          <w:pPr>
            <w:pStyle w:val="Zawartotabeli"/>
            <w:jc w:val="right"/>
          </w:pPr>
          <w:hyperlink r:id="rId2" w:history="1">
            <w:r w:rsidR="00550E8E">
              <w:rPr>
                <w:rStyle w:val="Hipercze"/>
                <w:rFonts w:ascii="Tahoma" w:hAnsi="Tahoma"/>
              </w:rPr>
              <w:t>www.aotmit.gov.pl</w:t>
            </w:r>
          </w:hyperlink>
          <w:r w:rsidR="00550E8E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550E8E">
            <w:t xml:space="preserve"> </w:t>
          </w:r>
        </w:p>
      </w:tc>
      <w:tc>
        <w:tcPr>
          <w:tcW w:w="926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5D460EE5" wp14:editId="63B6551C">
                <wp:extent cx="466285" cy="466285"/>
                <wp:effectExtent l="0" t="0" r="0" b="0"/>
                <wp:docPr id="1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0917CF" w:rsidRDefault="00091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E7" w:rsidRDefault="001D12E7" w:rsidP="000917CF">
      <w:r>
        <w:separator/>
      </w:r>
    </w:p>
  </w:footnote>
  <w:footnote w:type="continuationSeparator" w:id="0">
    <w:p w:rsidR="001D12E7" w:rsidRDefault="001D12E7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2"/>
      <w:gridCol w:w="6915"/>
    </w:tblGrid>
    <w:tr w:rsidR="00550E8E" w:rsidTr="00FA7B40">
      <w:trPr>
        <w:trHeight w:val="1304"/>
      </w:trPr>
      <w:tc>
        <w:tcPr>
          <w:tcW w:w="1572" w:type="dxa"/>
          <w:vAlign w:val="center"/>
        </w:tcPr>
        <w:p w:rsidR="00550E8E" w:rsidRDefault="00550E8E" w:rsidP="000D0AF2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3AA3D0DD" wp14:editId="39907ADD">
                <wp:extent cx="819150" cy="819150"/>
                <wp:effectExtent l="0" t="0" r="0" b="0"/>
                <wp:docPr id="1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336" cy="819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6915" w:type="dxa"/>
        </w:tcPr>
        <w:p w:rsidR="00550E8E" w:rsidRPr="002B2DB2" w:rsidRDefault="00550E8E" w:rsidP="000D0AF2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:rsidR="00550E8E" w:rsidRDefault="00550E8E" w:rsidP="000D0AF2">
          <w:pPr>
            <w:pStyle w:val="Zawartotabeli"/>
          </w:pPr>
        </w:p>
        <w:p w:rsidR="00550E8E" w:rsidRDefault="00550E8E" w:rsidP="000D0AF2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:rsidR="00FA7B40" w:rsidRPr="00FA7B40" w:rsidRDefault="007F2C40" w:rsidP="007F2C40">
    <w:pPr>
      <w:tabs>
        <w:tab w:val="num" w:pos="284"/>
      </w:tabs>
      <w:ind w:left="284" w:hanging="284"/>
      <w:jc w:val="right"/>
      <w:rPr>
        <w:rFonts w:ascii="Calibri" w:hAnsi="Calibri" w:cs="Calibri"/>
        <w:b/>
        <w:sz w:val="22"/>
        <w:szCs w:val="24"/>
      </w:rPr>
    </w:pPr>
    <w:r>
      <w:rPr>
        <w:rFonts w:ascii="Calibri" w:hAnsi="Calibri" w:cs="Calibri"/>
        <w:b/>
        <w:sz w:val="22"/>
        <w:szCs w:val="24"/>
      </w:rPr>
      <w:t>Załącznik nr 4.2</w:t>
    </w:r>
    <w:r w:rsidR="00FA7B40" w:rsidRPr="00FA7B40">
      <w:rPr>
        <w:rFonts w:ascii="Calibri" w:hAnsi="Calibri" w:cs="Calibri"/>
        <w:b/>
        <w:sz w:val="22"/>
        <w:szCs w:val="24"/>
      </w:rPr>
      <w:t xml:space="preserve"> do SIWZ</w:t>
    </w:r>
  </w:p>
  <w:p w:rsidR="00550E8E" w:rsidRDefault="00550E8E" w:rsidP="00FA7B40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6C63C2F" wp14:editId="2DFFD75A">
              <wp:simplePos x="0" y="0"/>
              <wp:positionH relativeFrom="column">
                <wp:posOffset>-4446</wp:posOffset>
              </wp:positionH>
              <wp:positionV relativeFrom="paragraph">
                <wp:posOffset>125095</wp:posOffset>
              </wp:positionV>
              <wp:extent cx="8867775" cy="9525"/>
              <wp:effectExtent l="0" t="0" r="28575" b="2857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86777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07ED9" id="Łącznik prostoliniowy 6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9.85pt" to="697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4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6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5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8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0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0"/>
    <w:lvlOverride w:ilvl="0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16"/>
  </w:num>
  <w:num w:numId="7">
    <w:abstractNumId w:val="51"/>
  </w:num>
  <w:num w:numId="8">
    <w:abstractNumId w:val="42"/>
  </w:num>
  <w:num w:numId="9">
    <w:abstractNumId w:val="40"/>
  </w:num>
  <w:num w:numId="10">
    <w:abstractNumId w:val="27"/>
  </w:num>
  <w:num w:numId="11">
    <w:abstractNumId w:val="26"/>
  </w:num>
  <w:num w:numId="12">
    <w:abstractNumId w:val="19"/>
  </w:num>
  <w:num w:numId="13">
    <w:abstractNumId w:val="35"/>
  </w:num>
  <w:num w:numId="14">
    <w:abstractNumId w:val="43"/>
  </w:num>
  <w:num w:numId="15">
    <w:abstractNumId w:val="24"/>
  </w:num>
  <w:num w:numId="16">
    <w:abstractNumId w:val="23"/>
  </w:num>
  <w:num w:numId="17">
    <w:abstractNumId w:val="39"/>
  </w:num>
  <w:num w:numId="18">
    <w:abstractNumId w:val="47"/>
  </w:num>
  <w:num w:numId="19">
    <w:abstractNumId w:val="41"/>
  </w:num>
  <w:num w:numId="20">
    <w:abstractNumId w:val="21"/>
  </w:num>
  <w:num w:numId="21">
    <w:abstractNumId w:val="48"/>
  </w:num>
  <w:num w:numId="22">
    <w:abstractNumId w:val="15"/>
  </w:num>
  <w:num w:numId="23">
    <w:abstractNumId w:val="10"/>
  </w:num>
  <w:num w:numId="24">
    <w:abstractNumId w:val="52"/>
  </w:num>
  <w:num w:numId="25">
    <w:abstractNumId w:val="44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9"/>
  </w:num>
  <w:num w:numId="32">
    <w:abstractNumId w:val="11"/>
  </w:num>
  <w:num w:numId="33">
    <w:abstractNumId w:val="46"/>
  </w:num>
  <w:num w:numId="34">
    <w:abstractNumId w:val="28"/>
  </w:num>
  <w:num w:numId="35">
    <w:abstractNumId w:val="29"/>
  </w:num>
  <w:num w:numId="36">
    <w:abstractNumId w:val="36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7"/>
  </w:num>
  <w:num w:numId="43">
    <w:abstractNumId w:val="18"/>
  </w:num>
  <w:num w:numId="44">
    <w:abstractNumId w:val="34"/>
  </w:num>
  <w:num w:numId="45">
    <w:abstractNumId w:val="38"/>
  </w:num>
  <w:num w:numId="46">
    <w:abstractNumId w:val="32"/>
  </w:num>
  <w:num w:numId="47">
    <w:abstractNumId w:val="25"/>
  </w:num>
  <w:num w:numId="48">
    <w:abstractNumId w:val="20"/>
  </w:num>
  <w:num w:numId="49">
    <w:abstractNumId w:val="5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8"/>
    <w:rsid w:val="000917CF"/>
    <w:rsid w:val="001D12E7"/>
    <w:rsid w:val="00256327"/>
    <w:rsid w:val="003C545D"/>
    <w:rsid w:val="00550E8E"/>
    <w:rsid w:val="007F2C40"/>
    <w:rsid w:val="00842628"/>
    <w:rsid w:val="009A4AFF"/>
    <w:rsid w:val="009D243E"/>
    <w:rsid w:val="00CD721E"/>
    <w:rsid w:val="00E91C67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36E6D68-466C-4843-9BB5-E5BFB18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">
    <w:name w:val="Wzmianka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gloadsolutions.com/80pluspowersuppli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nchmarks.u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2083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Milena Wysocka</cp:lastModifiedBy>
  <cp:revision>8</cp:revision>
  <dcterms:created xsi:type="dcterms:W3CDTF">2019-02-12T10:07:00Z</dcterms:created>
  <dcterms:modified xsi:type="dcterms:W3CDTF">2019-02-12T11:43:00Z</dcterms:modified>
</cp:coreProperties>
</file>